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4F3" w:rsidRPr="006C4052" w:rsidRDefault="003F5456" w:rsidP="00260C19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C4052">
        <w:rPr>
          <w:rFonts w:ascii="Times New Roman" w:hAnsi="Times New Roman"/>
          <w:b/>
          <w:sz w:val="28"/>
          <w:szCs w:val="28"/>
          <w:lang w:eastAsia="ru-RU"/>
        </w:rPr>
        <w:t xml:space="preserve">ЗАКЛЮЧЕНИЕ № </w:t>
      </w:r>
      <w:r w:rsidR="008C3D38">
        <w:rPr>
          <w:rFonts w:ascii="Times New Roman" w:hAnsi="Times New Roman"/>
          <w:b/>
          <w:sz w:val="28"/>
          <w:szCs w:val="28"/>
          <w:lang w:eastAsia="ru-RU"/>
        </w:rPr>
        <w:t>2</w:t>
      </w:r>
    </w:p>
    <w:p w:rsidR="00F314F3" w:rsidRPr="006C4052" w:rsidRDefault="00F314F3" w:rsidP="00260C19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C4052">
        <w:rPr>
          <w:rFonts w:ascii="Times New Roman" w:hAnsi="Times New Roman"/>
          <w:b/>
          <w:sz w:val="28"/>
          <w:szCs w:val="28"/>
          <w:lang w:eastAsia="ru-RU"/>
        </w:rPr>
        <w:t>О РЕЗУЛЬТАТАХ ОБЩЕСТВЕННЫХ ОБСУЖДЕНИЙ</w:t>
      </w:r>
    </w:p>
    <w:p w:rsidR="00F314F3" w:rsidRPr="006C4052" w:rsidRDefault="00F314F3" w:rsidP="00260C19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F314F3" w:rsidRPr="006C4052" w:rsidRDefault="00F314F3" w:rsidP="00260C1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C4052">
        <w:rPr>
          <w:rFonts w:ascii="Times New Roman" w:hAnsi="Times New Roman"/>
          <w:b/>
          <w:sz w:val="28"/>
          <w:szCs w:val="28"/>
        </w:rPr>
        <w:t>Дата оформления заключения:</w:t>
      </w:r>
      <w:r w:rsidRPr="006C4052">
        <w:rPr>
          <w:rFonts w:ascii="Times New Roman" w:hAnsi="Times New Roman"/>
          <w:sz w:val="28"/>
          <w:szCs w:val="28"/>
        </w:rPr>
        <w:t xml:space="preserve"> </w:t>
      </w:r>
      <w:r w:rsidR="00412A2D">
        <w:rPr>
          <w:rFonts w:ascii="Times New Roman" w:hAnsi="Times New Roman"/>
          <w:sz w:val="28"/>
          <w:szCs w:val="28"/>
        </w:rPr>
        <w:t>31</w:t>
      </w:r>
      <w:bookmarkStart w:id="0" w:name="_GoBack"/>
      <w:bookmarkEnd w:id="0"/>
      <w:r w:rsidR="003F5456" w:rsidRPr="006C4052">
        <w:rPr>
          <w:rFonts w:ascii="Times New Roman" w:hAnsi="Times New Roman"/>
          <w:sz w:val="28"/>
          <w:szCs w:val="28"/>
        </w:rPr>
        <w:t>.</w:t>
      </w:r>
      <w:r w:rsidR="00731272" w:rsidRPr="006C4052">
        <w:rPr>
          <w:rFonts w:ascii="Times New Roman" w:hAnsi="Times New Roman"/>
          <w:sz w:val="28"/>
          <w:szCs w:val="28"/>
        </w:rPr>
        <w:t>0</w:t>
      </w:r>
      <w:r w:rsidR="008C3D38">
        <w:rPr>
          <w:rFonts w:ascii="Times New Roman" w:hAnsi="Times New Roman"/>
          <w:sz w:val="28"/>
          <w:szCs w:val="28"/>
        </w:rPr>
        <w:t>3</w:t>
      </w:r>
      <w:r w:rsidRPr="006C4052">
        <w:rPr>
          <w:rFonts w:ascii="Times New Roman" w:hAnsi="Times New Roman"/>
          <w:sz w:val="28"/>
          <w:szCs w:val="28"/>
        </w:rPr>
        <w:t>.20</w:t>
      </w:r>
      <w:r w:rsidR="00731272" w:rsidRPr="006C4052">
        <w:rPr>
          <w:rFonts w:ascii="Times New Roman" w:hAnsi="Times New Roman"/>
          <w:sz w:val="28"/>
          <w:szCs w:val="28"/>
        </w:rPr>
        <w:t>21</w:t>
      </w:r>
      <w:r w:rsidRPr="006C4052">
        <w:rPr>
          <w:rFonts w:ascii="Times New Roman" w:hAnsi="Times New Roman"/>
          <w:sz w:val="28"/>
          <w:szCs w:val="28"/>
        </w:rPr>
        <w:t>.</w:t>
      </w:r>
    </w:p>
    <w:p w:rsidR="00F314F3" w:rsidRPr="006C4052" w:rsidRDefault="00F314F3" w:rsidP="00260C1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C4052">
        <w:rPr>
          <w:rFonts w:ascii="Times New Roman" w:hAnsi="Times New Roman"/>
          <w:b/>
          <w:sz w:val="28"/>
          <w:szCs w:val="28"/>
        </w:rPr>
        <w:t>Организатор общественных обсуждений:</w:t>
      </w:r>
      <w:r w:rsidRPr="006C4052">
        <w:rPr>
          <w:rFonts w:ascii="Times New Roman" w:hAnsi="Times New Roman"/>
          <w:sz w:val="28"/>
          <w:szCs w:val="28"/>
        </w:rPr>
        <w:t xml:space="preserve"> </w:t>
      </w:r>
      <w:r w:rsidR="00731272" w:rsidRPr="006C4052">
        <w:rPr>
          <w:rFonts w:ascii="Times New Roman" w:hAnsi="Times New Roman"/>
          <w:sz w:val="28"/>
          <w:szCs w:val="28"/>
        </w:rPr>
        <w:t>Администрация Великого Новгорода</w:t>
      </w:r>
      <w:r w:rsidRPr="006C4052">
        <w:rPr>
          <w:rFonts w:ascii="Times New Roman" w:hAnsi="Times New Roman"/>
          <w:sz w:val="28"/>
          <w:szCs w:val="28"/>
        </w:rPr>
        <w:t>.</w:t>
      </w:r>
    </w:p>
    <w:p w:rsidR="003E74D6" w:rsidRPr="006C4052" w:rsidRDefault="00F314F3" w:rsidP="003E74D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C4052">
        <w:rPr>
          <w:rFonts w:ascii="Times New Roman" w:hAnsi="Times New Roman"/>
          <w:b/>
          <w:bCs/>
          <w:sz w:val="28"/>
          <w:szCs w:val="28"/>
          <w:lang w:eastAsia="ru-RU"/>
        </w:rPr>
        <w:t>Общие сведения о проекте, представленном на общественные обсуждения:</w:t>
      </w:r>
      <w:r w:rsidRPr="006C4052">
        <w:rPr>
          <w:rFonts w:ascii="Times New Roman" w:hAnsi="Times New Roman"/>
          <w:sz w:val="28"/>
          <w:szCs w:val="28"/>
        </w:rPr>
        <w:t xml:space="preserve"> </w:t>
      </w:r>
      <w:r w:rsidR="00731272" w:rsidRPr="006C4052">
        <w:rPr>
          <w:rFonts w:ascii="Times New Roman" w:eastAsia="Times New Roman" w:hAnsi="Times New Roman"/>
          <w:sz w:val="28"/>
          <w:szCs w:val="28"/>
        </w:rPr>
        <w:t>проект решения Думы Великого Новгорода «</w:t>
      </w:r>
      <w:r w:rsidR="008C3D38" w:rsidRPr="008C3D38">
        <w:rPr>
          <w:rFonts w:ascii="Times New Roman" w:eastAsia="Times New Roman" w:hAnsi="Times New Roman"/>
          <w:sz w:val="28"/>
          <w:szCs w:val="28"/>
        </w:rPr>
        <w:t>Об утверждении общих требований к нестационарным торговым объектам и сезонным (летним) кафе, размещаемым на территории Великого Новгорода (Дизайн-код)</w:t>
      </w:r>
      <w:r w:rsidR="00731272" w:rsidRPr="006C4052">
        <w:rPr>
          <w:rFonts w:ascii="Times New Roman" w:eastAsia="Times New Roman" w:hAnsi="Times New Roman"/>
          <w:sz w:val="28"/>
          <w:szCs w:val="28"/>
        </w:rPr>
        <w:t>»</w:t>
      </w:r>
      <w:r w:rsidR="003E74D6" w:rsidRPr="006C4052">
        <w:rPr>
          <w:rFonts w:ascii="Times New Roman" w:hAnsi="Times New Roman"/>
          <w:sz w:val="28"/>
          <w:szCs w:val="28"/>
        </w:rPr>
        <w:t>.</w:t>
      </w:r>
    </w:p>
    <w:p w:rsidR="00F314F3" w:rsidRPr="006C4052" w:rsidRDefault="00F314F3" w:rsidP="00260C19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4052">
        <w:rPr>
          <w:rStyle w:val="a3"/>
          <w:rFonts w:ascii="Times New Roman" w:hAnsi="Times New Roman"/>
          <w:bCs w:val="0"/>
          <w:sz w:val="28"/>
          <w:szCs w:val="28"/>
        </w:rPr>
        <w:t>Реквизиты протокола общественных обсуждений или публичных слушаний, на основании которого подготовлено заключение о результатах общественных обсуждений:</w:t>
      </w:r>
      <w:r w:rsidRPr="006C4052">
        <w:rPr>
          <w:rStyle w:val="a3"/>
          <w:rFonts w:ascii="Times New Roman" w:hAnsi="Times New Roman"/>
          <w:b w:val="0"/>
          <w:bCs w:val="0"/>
          <w:sz w:val="28"/>
          <w:szCs w:val="28"/>
        </w:rPr>
        <w:t xml:space="preserve"> протокол общественных обсуждений </w:t>
      </w:r>
      <w:r w:rsidRPr="006C405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от </w:t>
      </w:r>
      <w:r w:rsidR="00634AF2" w:rsidRPr="006C4052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="008C3D38">
        <w:rPr>
          <w:rFonts w:ascii="Times New Roman" w:hAnsi="Times New Roman"/>
          <w:color w:val="000000"/>
          <w:sz w:val="28"/>
          <w:szCs w:val="28"/>
          <w:lang w:eastAsia="ru-RU"/>
        </w:rPr>
        <w:t>5</w:t>
      </w:r>
      <w:r w:rsidR="00634AF2" w:rsidRPr="006C4052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="00731272" w:rsidRPr="006C4052">
        <w:rPr>
          <w:rFonts w:ascii="Times New Roman" w:hAnsi="Times New Roman"/>
          <w:color w:val="000000"/>
          <w:sz w:val="28"/>
          <w:szCs w:val="28"/>
          <w:lang w:eastAsia="ru-RU"/>
        </w:rPr>
        <w:t>0</w:t>
      </w:r>
      <w:r w:rsidR="008C3D38"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  <w:r w:rsidRPr="006C4052">
        <w:rPr>
          <w:rFonts w:ascii="Times New Roman" w:hAnsi="Times New Roman"/>
          <w:color w:val="000000"/>
          <w:sz w:val="28"/>
          <w:szCs w:val="28"/>
          <w:lang w:eastAsia="ru-RU"/>
        </w:rPr>
        <w:t>.20</w:t>
      </w:r>
      <w:r w:rsidR="00731272" w:rsidRPr="006C4052">
        <w:rPr>
          <w:rFonts w:ascii="Times New Roman" w:hAnsi="Times New Roman"/>
          <w:color w:val="000000"/>
          <w:sz w:val="28"/>
          <w:szCs w:val="28"/>
          <w:lang w:eastAsia="ru-RU"/>
        </w:rPr>
        <w:t>21</w:t>
      </w:r>
      <w:r w:rsidRPr="006C405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№ </w:t>
      </w:r>
      <w:r w:rsidR="008C3D38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Pr="006C4052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F314F3" w:rsidRPr="006C4052" w:rsidRDefault="00F314F3" w:rsidP="00260C1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C4052">
        <w:rPr>
          <w:rFonts w:ascii="Times New Roman" w:hAnsi="Times New Roman"/>
          <w:b/>
          <w:sz w:val="28"/>
          <w:szCs w:val="28"/>
        </w:rPr>
        <w:t>Количество участников общественных обсуждений:</w:t>
      </w:r>
      <w:r w:rsidR="00634AF2" w:rsidRPr="006C4052">
        <w:rPr>
          <w:rFonts w:ascii="Times New Roman" w:hAnsi="Times New Roman"/>
          <w:sz w:val="28"/>
          <w:szCs w:val="28"/>
        </w:rPr>
        <w:t xml:space="preserve"> </w:t>
      </w:r>
      <w:r w:rsidR="008C3D38">
        <w:rPr>
          <w:rFonts w:ascii="Times New Roman" w:hAnsi="Times New Roman"/>
          <w:sz w:val="28"/>
          <w:szCs w:val="28"/>
        </w:rPr>
        <w:t>3</w:t>
      </w:r>
      <w:r w:rsidRPr="006C4052">
        <w:rPr>
          <w:rFonts w:ascii="Times New Roman" w:hAnsi="Times New Roman"/>
          <w:sz w:val="28"/>
          <w:szCs w:val="28"/>
        </w:rPr>
        <w:t>.</w:t>
      </w:r>
    </w:p>
    <w:p w:rsidR="00F314F3" w:rsidRDefault="00F314F3" w:rsidP="00634AF2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C4052">
        <w:rPr>
          <w:rFonts w:ascii="Times New Roman" w:hAnsi="Times New Roman"/>
          <w:b/>
          <w:bCs/>
          <w:sz w:val="28"/>
          <w:szCs w:val="28"/>
          <w:lang w:eastAsia="ru-RU"/>
        </w:rPr>
        <w:t>Предложения и замечания участников общественных обсуждений:</w:t>
      </w:r>
      <w:r w:rsidRPr="006C40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tbl>
      <w:tblPr>
        <w:tblStyle w:val="a5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2349"/>
        <w:gridCol w:w="3261"/>
        <w:gridCol w:w="3543"/>
      </w:tblGrid>
      <w:tr w:rsidR="00E314F3" w:rsidRPr="00D86DD2" w:rsidTr="00E314F3">
        <w:tc>
          <w:tcPr>
            <w:tcW w:w="486" w:type="dxa"/>
          </w:tcPr>
          <w:p w:rsidR="00E314F3" w:rsidRDefault="00E314F3" w:rsidP="00D86DD2">
            <w:pPr>
              <w:jc w:val="center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 xml:space="preserve">№ </w:t>
            </w:r>
            <w:proofErr w:type="gramStart"/>
            <w:r>
              <w:rPr>
                <w:rFonts w:ascii="Times New Roman" w:eastAsiaTheme="minorHAnsi" w:hAnsi="Times New Roman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Theme="minorHAnsi" w:hAnsi="Times New Roman"/>
                <w:sz w:val="26"/>
                <w:szCs w:val="26"/>
              </w:rPr>
              <w:t>/п</w:t>
            </w:r>
          </w:p>
        </w:tc>
        <w:tc>
          <w:tcPr>
            <w:tcW w:w="2349" w:type="dxa"/>
          </w:tcPr>
          <w:p w:rsidR="00E314F3" w:rsidRPr="00D86DD2" w:rsidRDefault="00E314F3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Участник общественных обсуждений</w:t>
            </w:r>
          </w:p>
        </w:tc>
        <w:tc>
          <w:tcPr>
            <w:tcW w:w="3261" w:type="dxa"/>
          </w:tcPr>
          <w:p w:rsidR="00E314F3" w:rsidRPr="00D86DD2" w:rsidRDefault="00E314F3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Вопросы, предложения, замечания участников общественных обсуждений</w:t>
            </w:r>
          </w:p>
        </w:tc>
        <w:tc>
          <w:tcPr>
            <w:tcW w:w="3543" w:type="dxa"/>
          </w:tcPr>
          <w:p w:rsidR="00E314F3" w:rsidRPr="00D86DD2" w:rsidRDefault="00E314F3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Результат</w:t>
            </w:r>
          </w:p>
        </w:tc>
      </w:tr>
      <w:tr w:rsidR="00D86DD2" w:rsidRPr="00D86DD2" w:rsidTr="00E314F3">
        <w:tc>
          <w:tcPr>
            <w:tcW w:w="486" w:type="dxa"/>
          </w:tcPr>
          <w:p w:rsidR="00D86DD2" w:rsidRPr="00D86DD2" w:rsidRDefault="00D86DD2" w:rsidP="00D86DD2">
            <w:pPr>
              <w:jc w:val="center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t>1</w:t>
            </w: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.</w:t>
            </w:r>
          </w:p>
        </w:tc>
        <w:tc>
          <w:tcPr>
            <w:tcW w:w="2349" w:type="dxa"/>
          </w:tcPr>
          <w:p w:rsid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АО </w:t>
            </w:r>
            <w:proofErr w:type="spellStart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Лактис</w:t>
            </w:r>
            <w:proofErr w:type="spellEnd"/>
          </w:p>
          <w:p w:rsidR="00D86DD2" w:rsidRPr="00D86DD2" w:rsidRDefault="00D86DD2" w:rsidP="00D86DD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86DD2">
              <w:rPr>
                <w:rFonts w:ascii="Times New Roman" w:eastAsia="Times New Roman" w:hAnsi="Times New Roman"/>
                <w:sz w:val="24"/>
                <w:szCs w:val="24"/>
              </w:rPr>
              <w:t xml:space="preserve">ОГРН 1025300796850, Великий Новгород, 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="Times New Roman" w:hAnsi="Times New Roman"/>
                <w:sz w:val="24"/>
                <w:szCs w:val="24"/>
              </w:rPr>
              <w:t xml:space="preserve">пр. </w:t>
            </w:r>
            <w:proofErr w:type="spellStart"/>
            <w:r w:rsidRPr="00D86DD2">
              <w:rPr>
                <w:rFonts w:ascii="Times New Roman" w:eastAsia="Times New Roman" w:hAnsi="Times New Roman"/>
                <w:sz w:val="24"/>
                <w:szCs w:val="24"/>
              </w:rPr>
              <w:t>А.Корсунова</w:t>
            </w:r>
            <w:proofErr w:type="spellEnd"/>
            <w:r w:rsidRPr="00D86DD2">
              <w:rPr>
                <w:rFonts w:ascii="Times New Roman" w:eastAsia="Times New Roman" w:hAnsi="Times New Roman"/>
                <w:sz w:val="24"/>
                <w:szCs w:val="24"/>
              </w:rPr>
              <w:t>, д. 12б</w:t>
            </w:r>
          </w:p>
        </w:tc>
        <w:tc>
          <w:tcPr>
            <w:tcW w:w="3261" w:type="dxa"/>
          </w:tcPr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Несоответствие описания НТО «автомагазин» в проекте определению в ГОСТ </w:t>
            </w:r>
            <w:proofErr w:type="gramStart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Р</w:t>
            </w:r>
            <w:proofErr w:type="gramEnd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 51303-2013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К какому виду нестационарных торговых объектов относятся торговые объект</w:t>
            </w:r>
            <w:proofErr w:type="gramStart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ы ООО</w:t>
            </w:r>
            <w:proofErr w:type="gramEnd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 «Продукты» (киоск, автомагазин, иное).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Кто и в каком порядке будет принимать решение о цвете торговых объектов, принадлежащих разным производителям, но размещенных в группе;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Приведенные в проекте размеры торговых объектов указаны как предельные или могут быть меньших размеров.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Допускаются ли отклонения к </w:t>
            </w:r>
            <w:proofErr w:type="gramStart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указанным</w:t>
            </w:r>
            <w:proofErr w:type="gramEnd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 в проекте размеров в отношении уже размещенных объектов.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Требования к внешнему виду НТО и количеству размещаемых НТО в зависимости от зонирования территории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Расстояние между одиночными НТО 20 и 30 метров (должно быть не менее 20 и 30 метров)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Расстояние между сгруппированными НТО не более 100 см, </w:t>
            </w: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lastRenderedPageBreak/>
              <w:t>исключить требование об облицовке зазора между объектами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Увеличить допустимую площадь киоска до 15 </w:t>
            </w:r>
            <w:proofErr w:type="spellStart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кв.м</w:t>
            </w:r>
            <w:proofErr w:type="spellEnd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.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Увеличить количество сгруппированных объектов в зоне К</w:t>
            </w:r>
            <w:proofErr w:type="gramStart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1</w:t>
            </w:r>
            <w:proofErr w:type="gramEnd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 до четырех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Установить максимальную длину группы в К</w:t>
            </w:r>
            <w:proofErr w:type="gramStart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1</w:t>
            </w:r>
            <w:proofErr w:type="gramEnd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 – 25 м, а в К2 – 30 м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Необоснованно требование об одинаковой глубине сгруппированных НТО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Разница в высоте соседних НТО не должна быть более 0,5 м.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Исключить требование недопустимости «и любого иного нарушения целостности существующего покрытия» в месте установки НТО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Перед всеми габаритными размерами добавить предлог «до» (например: до 6 </w:t>
            </w:r>
            <w:proofErr w:type="spellStart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кв.м</w:t>
            </w:r>
            <w:proofErr w:type="spellEnd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. до 3,0 х</w:t>
            </w:r>
            <w:proofErr w:type="gramStart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2</w:t>
            </w:r>
            <w:proofErr w:type="gramEnd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,0м)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Высоту киоска указать не в фиксированной величине, а в предельной «до 3 м»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Исключить требование о недопустимости устройства цоколей киосков разной высоты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О каких ограждениях идет речь в п.4.2.2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Устранить неясности в Приложении № 1 проекта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Указать, что компенсационные места расположены в местах с потоком потенциальных покупателей не меньшим, чем в исключаемом месте</w:t>
            </w:r>
          </w:p>
        </w:tc>
        <w:tc>
          <w:tcPr>
            <w:tcW w:w="3543" w:type="dxa"/>
          </w:tcPr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lastRenderedPageBreak/>
              <w:t xml:space="preserve">Во избежание противоречий с ГОСТ </w:t>
            </w:r>
            <w:proofErr w:type="gramStart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Р</w:t>
            </w:r>
            <w:proofErr w:type="gramEnd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 51303-2013, предлагается ввести в проекте документа термин — киоск по типу «автоприцеп». Для таких типов объектов допустить площадь до 15 м</w:t>
            </w:r>
            <w:proofErr w:type="gramStart"/>
            <w:r w:rsidRPr="00D86DD2">
              <w:rPr>
                <w:rFonts w:ascii="Times New Roman" w:eastAsiaTheme="minorHAnsi" w:hAnsi="Times New Roman"/>
                <w:sz w:val="26"/>
                <w:szCs w:val="26"/>
                <w:vertAlign w:val="superscript"/>
              </w:rPr>
              <w:t>2</w:t>
            </w:r>
            <w:proofErr w:type="gramEnd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.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Цвет нестационарного торгового объекта является единым для всех объектов, находящихся в группе, и не зависит от того какому производителю он принадлежит. 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Цвет торговых объектов в группе предлагается ограничить следующими цветами: киоски, павильоны — </w:t>
            </w:r>
            <w:r w:rsidRPr="00D86DD2">
              <w:rPr>
                <w:rFonts w:ascii="Times New Roman" w:eastAsiaTheme="minorHAnsi" w:hAnsi="Times New Roman"/>
                <w:sz w:val="26"/>
                <w:szCs w:val="26"/>
                <w:lang w:val="en-US"/>
              </w:rPr>
              <w:t>RAL</w:t>
            </w: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 7026 (для зоны К</w:t>
            </w:r>
            <w:proofErr w:type="gramStart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1</w:t>
            </w:r>
            <w:proofErr w:type="gramEnd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), </w:t>
            </w:r>
            <w:r w:rsidRPr="00D86DD2">
              <w:rPr>
                <w:rFonts w:ascii="Times New Roman" w:eastAsiaTheme="minorHAnsi" w:hAnsi="Times New Roman"/>
                <w:sz w:val="26"/>
                <w:szCs w:val="26"/>
                <w:lang w:val="en-US"/>
              </w:rPr>
              <w:t>RAL</w:t>
            </w: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 7026/ 9004/ 1000 (для зон К2/</w:t>
            </w:r>
            <w:r w:rsidRPr="00D86DD2">
              <w:rPr>
                <w:rFonts w:ascii="Times New Roman" w:eastAsiaTheme="minorHAnsi" w:hAnsi="Times New Roman"/>
                <w:sz w:val="26"/>
                <w:szCs w:val="26"/>
                <w:lang w:val="en-US"/>
              </w:rPr>
              <w:t>K</w:t>
            </w: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3) торговые палатки, тележки бахчевые развалы — </w:t>
            </w:r>
            <w:r w:rsidRPr="00D86DD2">
              <w:rPr>
                <w:rFonts w:ascii="Times New Roman" w:eastAsiaTheme="minorHAnsi" w:hAnsi="Times New Roman"/>
                <w:sz w:val="26"/>
                <w:szCs w:val="26"/>
                <w:lang w:val="en-US"/>
              </w:rPr>
              <w:t>RAL</w:t>
            </w: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 1013 (для зоны К1),  </w:t>
            </w:r>
            <w:r w:rsidRPr="00D86DD2">
              <w:rPr>
                <w:rFonts w:ascii="Times New Roman" w:eastAsiaTheme="minorHAnsi" w:hAnsi="Times New Roman"/>
                <w:sz w:val="26"/>
                <w:szCs w:val="26"/>
                <w:lang w:val="en-US"/>
              </w:rPr>
              <w:t>RAL</w:t>
            </w: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 1013/ покрытие древесины защитными лаками натурального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lastRenderedPageBreak/>
              <w:t>Цвета (для зоны К</w:t>
            </w:r>
            <w:proofErr w:type="gramStart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2</w:t>
            </w:r>
            <w:proofErr w:type="gramEnd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/К3).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Для того</w:t>
            </w:r>
            <w:proofErr w:type="gramStart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,</w:t>
            </w:r>
            <w:proofErr w:type="gramEnd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 чтобы обеспечить модульность и сочетаемость разных типов НТО, целесообразно приведение в единые типоразмеры. Для одиночных НТО возможны отклонения по размерам в пределах 10%.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Отклонения от параметров предусмотрены Проектом только для одиночных нестационарных торговых объектов.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Существующие НТО целесообразно приводить </w:t>
            </w:r>
            <w:proofErr w:type="gramStart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у</w:t>
            </w:r>
            <w:proofErr w:type="gramEnd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 </w:t>
            </w:r>
            <w:proofErr w:type="gramStart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указанным</w:t>
            </w:r>
            <w:proofErr w:type="gramEnd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 в проекте типоразмерам при продлении договора.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В соответствии с обозначенными зонами выработан набор требований к внешнему виду и количеству НТО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п.3.1 предлагается изложить в следующей редакции:</w:t>
            </w: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br/>
              <w:t xml:space="preserve">«Одиночные НТО - отдельно стоящие объекты, минимальное расстояние между которыми </w:t>
            </w:r>
            <w:proofErr w:type="gramStart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в</w:t>
            </w:r>
            <w:proofErr w:type="gramEnd"/>
          </w:p>
          <w:p w:rsidR="00D86DD2" w:rsidRPr="00D86DD2" w:rsidRDefault="00D86DD2" w:rsidP="00D86DD2">
            <w:pPr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общественных пространствах категорий </w:t>
            </w:r>
            <w:proofErr w:type="spellStart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Kl</w:t>
            </w:r>
            <w:proofErr w:type="spellEnd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 и К2 –30 м, </w:t>
            </w:r>
            <w:proofErr w:type="gramStart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КЗ</w:t>
            </w:r>
            <w:proofErr w:type="gramEnd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 - 20 м.»</w:t>
            </w: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br/>
            </w: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br/>
              <w:t>Также определение сгруппированных НТО необходимо дополнить следующим предложением: «Минимальное расстояние между сгруппированными НТО</w:t>
            </w:r>
          </w:p>
          <w:p w:rsidR="00D86DD2" w:rsidRPr="00D86DD2" w:rsidRDefault="00D86DD2" w:rsidP="00D86DD2">
            <w:pPr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идентично расстоянию между </w:t>
            </w:r>
            <w:proofErr w:type="gramStart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одиночными</w:t>
            </w:r>
            <w:proofErr w:type="gramEnd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».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color w:val="FF0000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Зазоры между НТО приводят к накоплению мусора, использованию таких мест в </w:t>
            </w: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lastRenderedPageBreak/>
              <w:t>качестве несанкционированных уборных и зон курения, нарушают целостность группы. Если тот или иной объект технологически должен быть оснащен боковой дверью, этот НТО необходимо размещать крайним в группе.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color w:val="FF0000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В проект вводится объект киоск типа «автоприцеп» площадью 15 </w:t>
            </w:r>
            <w:proofErr w:type="spellStart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кв.м</w:t>
            </w:r>
            <w:proofErr w:type="spellEnd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.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Максимальная длина группы в зоне К</w:t>
            </w:r>
            <w:proofErr w:type="gramStart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1</w:t>
            </w:r>
            <w:proofErr w:type="gramEnd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 должна быть не более 9 м.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color w:val="FF0000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color w:val="FF0000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Предлагаемое размещение НТО в группе нарушает пешеходную проницаемость общественных пространств, снижает безопасность, а также приводит к деградации зон, расположенных с задней неторговой стороны.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color w:val="FF0000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color w:val="FF0000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Высота рядом стоящих НТО должна быть одинаковой для обеспечения единства облика. </w:t>
            </w: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br/>
            </w:r>
            <w:proofErr w:type="gramStart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Возможно</w:t>
            </w:r>
            <w:proofErr w:type="gramEnd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 допустить отклонение по высоте для одиночных НТО в пределах 10%.</w:t>
            </w: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br/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Учтено в проекте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color w:val="FF0000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color w:val="FF0000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color w:val="FF0000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color w:val="FF0000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color w:val="FF0000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color w:val="FF0000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color w:val="FF0000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Для того чтобы обеспечить модульность и сочетаемость разных типов НТО, целесообразно приведение в единые типоразмеры. Для </w:t>
            </w: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lastRenderedPageBreak/>
              <w:t>одиночных НТО возможны отклонения по размерам в пределах 10%.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Высота киосков в группе должна быть одинаковой. Для одиночных НТО возможны отклонения по размерам в пределах 10%.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Запрет на устройство цоколей разной высоты касается одного объекта и не может быть исключен.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Предлагается изложить в редакции: </w:t>
            </w:r>
            <w:proofErr w:type="gramStart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Расстояние до ограждений дорожных металлических барьерного типа, установленных в соответствии с действующим ГОСТ </w:t>
            </w:r>
            <w:proofErr w:type="gramEnd"/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Учтено в Приложении № 1 проекта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Учтено в проекте решения в определении «компенсационное место»</w:t>
            </w:r>
          </w:p>
        </w:tc>
      </w:tr>
      <w:tr w:rsidR="00D86DD2" w:rsidRPr="00D86DD2" w:rsidTr="00E314F3">
        <w:tc>
          <w:tcPr>
            <w:tcW w:w="486" w:type="dxa"/>
          </w:tcPr>
          <w:p w:rsidR="00D86DD2" w:rsidRPr="00D86DD2" w:rsidRDefault="00D86DD2" w:rsidP="00D86DD2">
            <w:pPr>
              <w:jc w:val="center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lastRenderedPageBreak/>
              <w:t>2</w:t>
            </w: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.</w:t>
            </w:r>
          </w:p>
        </w:tc>
        <w:tc>
          <w:tcPr>
            <w:tcW w:w="2349" w:type="dxa"/>
          </w:tcPr>
          <w:p w:rsid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АО «</w:t>
            </w:r>
            <w:proofErr w:type="spellStart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Новгородхлеб</w:t>
            </w:r>
            <w:proofErr w:type="spellEnd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»</w:t>
            </w:r>
          </w:p>
          <w:p w:rsid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ОГРН 1025300787137, Великий Новгород, 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пр. </w:t>
            </w:r>
            <w:proofErr w:type="spellStart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А.Корсунова</w:t>
            </w:r>
            <w:proofErr w:type="spellEnd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, д. 10</w:t>
            </w:r>
          </w:p>
        </w:tc>
        <w:tc>
          <w:tcPr>
            <w:tcW w:w="3261" w:type="dxa"/>
          </w:tcPr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Проект предусматривает большие финансовые затраты для предприятия, которые приведут к закрытию своей фирменной торговли и потере работы сотрудников.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E314F3" w:rsidRDefault="00E314F3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E314F3" w:rsidRDefault="00E314F3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Отсутствие возможности изменить конструкцию своих купав</w:t>
            </w:r>
          </w:p>
        </w:tc>
        <w:tc>
          <w:tcPr>
            <w:tcW w:w="3543" w:type="dxa"/>
          </w:tcPr>
          <w:p w:rsidR="00D86DD2" w:rsidRPr="00D86DD2" w:rsidRDefault="00D86DD2" w:rsidP="00D86DD2">
            <w:pPr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lastRenderedPageBreak/>
              <w:t>Предусмотрен иной механизм снижения затрат МСП - увеличение срока договора до 5 лет, заключение данного договора без аукциона,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длительный переходный период, предоставление компенсационного места.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Проработан вопрос предоставления льготных займов для субъектов МСП, в соответствии с письмом № 827/1 от 01 декабря 2020 года в Новгородском фонде поддержки малого предпринимательства действует отдельная программа по </w:t>
            </w: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lastRenderedPageBreak/>
              <w:t xml:space="preserve">предоставлению льготных займов (сумма до 3 </w:t>
            </w:r>
            <w:proofErr w:type="spellStart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млн</w:t>
            </w:r>
            <w:proofErr w:type="gramStart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.р</w:t>
            </w:r>
            <w:proofErr w:type="gramEnd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уб</w:t>
            </w:r>
            <w:proofErr w:type="spellEnd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., срок 36 месяцев, ставка 4,25% годовых).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Замена НТО не предполагается единовременной, только при продлении договоров.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 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Предложенный проект предусматривает возможности выбора типа НТО</w:t>
            </w:r>
          </w:p>
        </w:tc>
      </w:tr>
      <w:tr w:rsidR="00D86DD2" w:rsidRPr="00D86DD2" w:rsidTr="00E314F3">
        <w:tc>
          <w:tcPr>
            <w:tcW w:w="486" w:type="dxa"/>
          </w:tcPr>
          <w:p w:rsidR="00D86DD2" w:rsidRPr="00D86DD2" w:rsidRDefault="00D86DD2" w:rsidP="00D86DD2">
            <w:pPr>
              <w:jc w:val="center"/>
              <w:rPr>
                <w:rFonts w:ascii="Times New Roman" w:eastAsiaTheme="minorHAnsi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</w:rPr>
              <w:lastRenderedPageBreak/>
              <w:t>3</w:t>
            </w: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.</w:t>
            </w:r>
          </w:p>
        </w:tc>
        <w:tc>
          <w:tcPr>
            <w:tcW w:w="2349" w:type="dxa"/>
          </w:tcPr>
          <w:p w:rsid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ООО «Мельница»</w:t>
            </w:r>
          </w:p>
          <w:p w:rsid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ОГРН 1105321000223, Великий Новгород, микрорайон </w:t>
            </w:r>
            <w:proofErr w:type="spellStart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Волховский</w:t>
            </w:r>
            <w:proofErr w:type="spellEnd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, 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ул. Новгородская, д. 3</w:t>
            </w:r>
          </w:p>
        </w:tc>
        <w:tc>
          <w:tcPr>
            <w:tcW w:w="3261" w:type="dxa"/>
          </w:tcPr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Отсутствие возможности изменить форму киосков, так как это лишит компанию разработанной </w:t>
            </w:r>
            <w:proofErr w:type="spellStart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айдентики</w:t>
            </w:r>
            <w:proofErr w:type="spellEnd"/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 (фирменного стиля, визуальной составляющей бренда);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E314F3" w:rsidRDefault="00E314F3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Финансовые затраты на покупку нового оборудования приведут к краху компании и потере работы сотрудников</w:t>
            </w:r>
          </w:p>
        </w:tc>
        <w:tc>
          <w:tcPr>
            <w:tcW w:w="3543" w:type="dxa"/>
          </w:tcPr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Предложенный проект предусматривает возможности выбора типа НТО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использование фирменного стиля в оформлении выставочного пространства витрин</w:t>
            </w:r>
          </w:p>
          <w:p w:rsidR="00D86DD2" w:rsidRPr="00D86DD2" w:rsidRDefault="00D86DD2" w:rsidP="00D86DD2">
            <w:pPr>
              <w:rPr>
                <w:rFonts w:ascii="Times New Roman" w:eastAsiaTheme="minorHAnsi" w:hAnsi="Times New Roman"/>
                <w:sz w:val="26"/>
                <w:szCs w:val="26"/>
              </w:rPr>
            </w:pPr>
          </w:p>
          <w:p w:rsidR="00D86DD2" w:rsidRPr="00D86DD2" w:rsidRDefault="00D86DD2" w:rsidP="00D86DD2">
            <w:pPr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Предусмотрен иной механизм снижения затрат МСП - увеличение срока договора до 5 лет, заключение данного договора без аукциона,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длительный переходный период, предоставление компенсационного места.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>Будет проработан вопрос предоставления льготных займов для субъектов МСП.</w:t>
            </w:r>
          </w:p>
          <w:p w:rsidR="00D86DD2" w:rsidRPr="00D86DD2" w:rsidRDefault="00D86DD2" w:rsidP="00D86DD2">
            <w:pPr>
              <w:jc w:val="both"/>
              <w:rPr>
                <w:rFonts w:ascii="Times New Roman" w:eastAsiaTheme="minorHAnsi" w:hAnsi="Times New Roman"/>
                <w:color w:val="FF0000"/>
                <w:sz w:val="26"/>
                <w:szCs w:val="26"/>
              </w:rPr>
            </w:pPr>
            <w:r w:rsidRPr="00D86DD2">
              <w:rPr>
                <w:rFonts w:ascii="Times New Roman" w:eastAsiaTheme="minorHAnsi" w:hAnsi="Times New Roman"/>
                <w:sz w:val="26"/>
                <w:szCs w:val="26"/>
              </w:rPr>
              <w:t xml:space="preserve">Замена НТО не предполагается единовременной, только при продлении договоров. </w:t>
            </w:r>
          </w:p>
        </w:tc>
      </w:tr>
    </w:tbl>
    <w:p w:rsidR="00D86DD2" w:rsidRPr="006C4052" w:rsidRDefault="00D86DD2" w:rsidP="00634AF2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F314F3" w:rsidRPr="006C4052" w:rsidRDefault="00F314F3" w:rsidP="00260C19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C405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Выводы по результатам общественных обсуждений: </w:t>
      </w:r>
    </w:p>
    <w:p w:rsidR="00F314F3" w:rsidRPr="006C4052" w:rsidRDefault="00F314F3" w:rsidP="00260C1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C4052">
        <w:rPr>
          <w:rFonts w:ascii="Times New Roman" w:hAnsi="Times New Roman"/>
          <w:sz w:val="28"/>
          <w:szCs w:val="28"/>
          <w:lang w:eastAsia="ru-RU"/>
        </w:rPr>
        <w:t>1. Общественные обсуждения по Проекту проведены в соответствии с положением о порядке организации и проведения публичных слушаний или общественных обсуждений по вопросам градостроительной деятельности и вопросам благоустройства на территории муниципального образования - городского округа Великий Новгород, утвержденным решением Думы Великого Новгорода от 28.02.2019 № 132.</w:t>
      </w:r>
    </w:p>
    <w:p w:rsidR="00F314F3" w:rsidRPr="006C4052" w:rsidRDefault="00F314F3" w:rsidP="00260C1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C4052">
        <w:rPr>
          <w:rFonts w:ascii="Times New Roman" w:hAnsi="Times New Roman"/>
          <w:sz w:val="28"/>
          <w:szCs w:val="28"/>
          <w:lang w:eastAsia="ru-RU"/>
        </w:rPr>
        <w:t>2. Информация по Проекту доведена до сведения населения в соответствии с требованиями действующего законодательства.</w:t>
      </w:r>
    </w:p>
    <w:p w:rsidR="00F314F3" w:rsidRPr="006C4052" w:rsidRDefault="00F314F3" w:rsidP="00260C1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C4052">
        <w:rPr>
          <w:rFonts w:ascii="Times New Roman" w:hAnsi="Times New Roman"/>
          <w:sz w:val="28"/>
          <w:szCs w:val="28"/>
        </w:rPr>
        <w:lastRenderedPageBreak/>
        <w:t xml:space="preserve">3. </w:t>
      </w:r>
      <w:r w:rsidRPr="006C4052">
        <w:rPr>
          <w:rFonts w:ascii="Times New Roman" w:hAnsi="Times New Roman"/>
          <w:sz w:val="28"/>
          <w:szCs w:val="28"/>
          <w:lang w:eastAsia="ru-RU"/>
        </w:rPr>
        <w:t>Общественные обсуждения по Проекту считать состоявшимися.</w:t>
      </w:r>
    </w:p>
    <w:p w:rsidR="00F62859" w:rsidRDefault="00972AE2" w:rsidP="006C405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4052"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="00F62859" w:rsidRPr="00F62859">
        <w:rPr>
          <w:rFonts w:ascii="Times New Roman" w:hAnsi="Times New Roman"/>
          <w:sz w:val="28"/>
          <w:szCs w:val="28"/>
          <w:lang w:eastAsia="ru-RU"/>
        </w:rPr>
        <w:t xml:space="preserve">Рассмотреть поступившие предложения и замечания </w:t>
      </w:r>
      <w:r w:rsidR="00F62859">
        <w:rPr>
          <w:rFonts w:ascii="Times New Roman" w:hAnsi="Times New Roman"/>
          <w:sz w:val="28"/>
          <w:szCs w:val="28"/>
          <w:lang w:eastAsia="ru-RU"/>
        </w:rPr>
        <w:t xml:space="preserve">по </w:t>
      </w:r>
      <w:r w:rsidR="00F62859" w:rsidRPr="006C4052">
        <w:rPr>
          <w:rFonts w:ascii="Times New Roman" w:eastAsia="Times New Roman" w:hAnsi="Times New Roman"/>
          <w:sz w:val="28"/>
          <w:szCs w:val="28"/>
        </w:rPr>
        <w:t>проект</w:t>
      </w:r>
      <w:r w:rsidR="00F62859">
        <w:rPr>
          <w:rFonts w:ascii="Times New Roman" w:eastAsia="Times New Roman" w:hAnsi="Times New Roman"/>
          <w:sz w:val="28"/>
          <w:szCs w:val="28"/>
        </w:rPr>
        <w:t>у</w:t>
      </w:r>
      <w:r w:rsidR="00F62859" w:rsidRPr="006C4052">
        <w:rPr>
          <w:rFonts w:ascii="Times New Roman" w:eastAsia="Times New Roman" w:hAnsi="Times New Roman"/>
          <w:sz w:val="28"/>
          <w:szCs w:val="28"/>
        </w:rPr>
        <w:t xml:space="preserve"> решения Думы Великого Новгорода «</w:t>
      </w:r>
      <w:r w:rsidR="008C3D38" w:rsidRPr="008C3D38">
        <w:rPr>
          <w:rFonts w:ascii="Times New Roman" w:eastAsia="Times New Roman" w:hAnsi="Times New Roman"/>
          <w:sz w:val="28"/>
          <w:szCs w:val="28"/>
        </w:rPr>
        <w:t>Об утверждении общих требований к нестационарным торговым объектам и сезонным (летним) кафе, размещаемым на территории Великого Новгорода (Дизайн-код)</w:t>
      </w:r>
      <w:r w:rsidR="00F62859" w:rsidRPr="006C4052">
        <w:rPr>
          <w:rFonts w:ascii="Times New Roman" w:eastAsia="Times New Roman" w:hAnsi="Times New Roman"/>
          <w:sz w:val="28"/>
          <w:szCs w:val="28"/>
        </w:rPr>
        <w:t>»</w:t>
      </w:r>
      <w:r w:rsidR="00F62859" w:rsidRPr="00F62859">
        <w:rPr>
          <w:rFonts w:ascii="Times New Roman" w:hAnsi="Times New Roman"/>
          <w:sz w:val="28"/>
          <w:szCs w:val="28"/>
          <w:lang w:eastAsia="ru-RU"/>
        </w:rPr>
        <w:t>, в случае  необходимости внести изменения в Проект и направить Мэру Великого Новгорода.</w:t>
      </w:r>
    </w:p>
    <w:tbl>
      <w:tblPr>
        <w:tblW w:w="9640" w:type="dxa"/>
        <w:tblInd w:w="-426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363"/>
        <w:gridCol w:w="2398"/>
        <w:gridCol w:w="1879"/>
      </w:tblGrid>
      <w:tr w:rsidR="00F314F3" w:rsidRPr="006C4052" w:rsidTr="00260C19">
        <w:tc>
          <w:tcPr>
            <w:tcW w:w="5363" w:type="dxa"/>
            <w:vAlign w:val="bottom"/>
          </w:tcPr>
          <w:p w:rsidR="00F314F3" w:rsidRPr="006C4052" w:rsidRDefault="00F314F3" w:rsidP="00260C19">
            <w:pPr>
              <w:keepNext/>
              <w:keepLines/>
              <w:tabs>
                <w:tab w:val="left" w:pos="6210"/>
                <w:tab w:val="left" w:pos="7178"/>
                <w:tab w:val="left" w:pos="7898"/>
                <w:tab w:val="left" w:pos="8618"/>
                <w:tab w:val="left" w:pos="9338"/>
                <w:tab w:val="left" w:pos="10058"/>
                <w:tab w:val="left" w:pos="1077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98" w:type="dxa"/>
          </w:tcPr>
          <w:p w:rsidR="00F314F3" w:rsidRPr="006C4052" w:rsidRDefault="00F314F3" w:rsidP="00260C1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79" w:type="dxa"/>
            <w:vAlign w:val="bottom"/>
          </w:tcPr>
          <w:p w:rsidR="00F314F3" w:rsidRPr="006C4052" w:rsidRDefault="00F314F3" w:rsidP="00260C19">
            <w:pPr>
              <w:keepNext/>
              <w:keepLines/>
              <w:tabs>
                <w:tab w:val="left" w:pos="6210"/>
                <w:tab w:val="left" w:pos="7178"/>
                <w:tab w:val="left" w:pos="7898"/>
                <w:tab w:val="left" w:pos="8618"/>
                <w:tab w:val="left" w:pos="9338"/>
                <w:tab w:val="left" w:pos="10058"/>
                <w:tab w:val="left" w:pos="10778"/>
              </w:tabs>
              <w:autoSpaceDE w:val="0"/>
              <w:autoSpaceDN w:val="0"/>
              <w:adjustRightInd w:val="0"/>
              <w:spacing w:before="120"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4A0EFE" w:rsidRPr="006C4052" w:rsidRDefault="004A0EFE">
      <w:pPr>
        <w:rPr>
          <w:sz w:val="28"/>
          <w:szCs w:val="28"/>
        </w:rPr>
      </w:pPr>
    </w:p>
    <w:sectPr w:rsidR="004A0EFE" w:rsidRPr="006C4052" w:rsidSect="005F2CCA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904"/>
    <w:rsid w:val="000712A7"/>
    <w:rsid w:val="000B7BCB"/>
    <w:rsid w:val="001A741C"/>
    <w:rsid w:val="00260C19"/>
    <w:rsid w:val="002D272C"/>
    <w:rsid w:val="002D4E56"/>
    <w:rsid w:val="003D6A7C"/>
    <w:rsid w:val="003E74D6"/>
    <w:rsid w:val="003F5456"/>
    <w:rsid w:val="00412A2D"/>
    <w:rsid w:val="004177C9"/>
    <w:rsid w:val="004A0EFE"/>
    <w:rsid w:val="004C4DE4"/>
    <w:rsid w:val="005E5A68"/>
    <w:rsid w:val="005F2CCA"/>
    <w:rsid w:val="006025A8"/>
    <w:rsid w:val="00620A0E"/>
    <w:rsid w:val="00634AF2"/>
    <w:rsid w:val="00665334"/>
    <w:rsid w:val="006C4052"/>
    <w:rsid w:val="00731272"/>
    <w:rsid w:val="008C3D38"/>
    <w:rsid w:val="009016FC"/>
    <w:rsid w:val="00972AE2"/>
    <w:rsid w:val="00996904"/>
    <w:rsid w:val="00D80D43"/>
    <w:rsid w:val="00D86DD2"/>
    <w:rsid w:val="00DD4451"/>
    <w:rsid w:val="00E314F3"/>
    <w:rsid w:val="00EF6D7F"/>
    <w:rsid w:val="00F314F3"/>
    <w:rsid w:val="00F62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4F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F314F3"/>
    <w:rPr>
      <w:b/>
      <w:bCs/>
    </w:rPr>
  </w:style>
  <w:style w:type="paragraph" w:styleId="a4">
    <w:name w:val="List Paragraph"/>
    <w:basedOn w:val="a"/>
    <w:uiPriority w:val="34"/>
    <w:qFormat/>
    <w:rsid w:val="00F62859"/>
    <w:pPr>
      <w:ind w:left="720"/>
      <w:contextualSpacing/>
    </w:pPr>
  </w:style>
  <w:style w:type="table" w:styleId="a5">
    <w:name w:val="Table Grid"/>
    <w:basedOn w:val="a1"/>
    <w:uiPriority w:val="59"/>
    <w:rsid w:val="00D86D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314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314F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4F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F314F3"/>
    <w:rPr>
      <w:b/>
      <w:bCs/>
    </w:rPr>
  </w:style>
  <w:style w:type="paragraph" w:styleId="a4">
    <w:name w:val="List Paragraph"/>
    <w:basedOn w:val="a"/>
    <w:uiPriority w:val="34"/>
    <w:qFormat/>
    <w:rsid w:val="00F62859"/>
    <w:pPr>
      <w:ind w:left="720"/>
      <w:contextualSpacing/>
    </w:pPr>
  </w:style>
  <w:style w:type="table" w:styleId="a5">
    <w:name w:val="Table Grid"/>
    <w:basedOn w:val="a1"/>
    <w:uiPriority w:val="59"/>
    <w:rsid w:val="00D86D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314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314F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1256</Words>
  <Characters>7161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</Company>
  <LinksUpToDate>false</LinksUpToDate>
  <CharactersWithSpaces>8401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Круглова Зоя Васильевна</dc:creator>
  <cp:lastModifiedBy>Сурина Светлана Геннадьевна</cp:lastModifiedBy>
  <cp:revision>3</cp:revision>
  <cp:lastPrinted>2021-03-29T13:40:00Z</cp:lastPrinted>
  <dcterms:created xsi:type="dcterms:W3CDTF">2021-03-30T09:18:00Z</dcterms:created>
  <dcterms:modified xsi:type="dcterms:W3CDTF">2021-03-31T05:11:00Z</dcterms:modified>
</cp:coreProperties>
</file>